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DB21842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0A650B">
        <w:rPr>
          <w:kern w:val="3"/>
          <w:lang w:val="sr-Cyrl-RS" w:eastAsia="ar-SA"/>
        </w:rPr>
        <w:t>26</w:t>
      </w:r>
      <w:r w:rsidR="00EE484A">
        <w:rPr>
          <w:kern w:val="3"/>
          <w:lang w:val="sr-Cyrl-RS" w:eastAsia="ar-SA"/>
        </w:rPr>
        <w:t>.11.2025.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5012FA7" w:rsidR="00EC05A7" w:rsidRPr="000A650B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EE484A">
        <w:rPr>
          <w:b/>
          <w:bCs/>
          <w:kern w:val="3"/>
          <w:lang w:val="sr-Cyrl-RS" w:eastAsia="ar-SA"/>
        </w:rPr>
        <w:t>Вентили за воду</w:t>
      </w:r>
      <w:r w:rsidR="000A650B">
        <w:rPr>
          <w:b/>
          <w:bCs/>
          <w:kern w:val="3"/>
          <w:lang w:val="sr-Latn-RS" w:eastAsia="ar-SA"/>
        </w:rPr>
        <w:t>-</w:t>
      </w:r>
      <w:r w:rsidR="000A650B">
        <w:rPr>
          <w:b/>
          <w:bCs/>
          <w:kern w:val="3"/>
          <w:lang w:val="sr-Cyrl-RS" w:eastAsia="ar-SA"/>
        </w:rPr>
        <w:t>поновљен поступак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021B9A1" w:rsidR="00EC05A7" w:rsidRPr="00EE484A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EE484A">
        <w:rPr>
          <w:kern w:val="3"/>
          <w:lang w:val="sr-Cyrl-RS" w:eastAsia="ar-SA"/>
        </w:rPr>
        <w:t xml:space="preserve">До </w:t>
      </w:r>
      <w:r w:rsidR="000A650B">
        <w:rPr>
          <w:kern w:val="3"/>
          <w:lang w:val="sr-Cyrl-RS" w:eastAsia="ar-SA"/>
        </w:rPr>
        <w:t>100</w:t>
      </w:r>
      <w:r w:rsidR="00EE484A">
        <w:rPr>
          <w:kern w:val="3"/>
          <w:lang w:val="sr-Cyrl-RS" w:eastAsia="ar-SA"/>
        </w:rPr>
        <w:t>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proofErr w:type="gram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4D671A9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EE484A">
        <w:rPr>
          <w:kern w:val="3"/>
          <w:lang w:val="sr-Cyrl-RS" w:eastAsia="ar-SA"/>
        </w:rPr>
        <w:t xml:space="preserve"> </w:t>
      </w:r>
      <w:r w:rsidR="000A650B">
        <w:rPr>
          <w:kern w:val="3"/>
          <w:lang w:val="sr-Cyrl-RS" w:eastAsia="ar-SA"/>
        </w:rPr>
        <w:t>28</w:t>
      </w:r>
      <w:r w:rsidR="00EE484A">
        <w:rPr>
          <w:kern w:val="3"/>
          <w:lang w:val="sr-Cyrl-RS" w:eastAsia="ar-SA"/>
        </w:rPr>
        <w:t>.11.2025.</w:t>
      </w:r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proofErr w:type="gramEnd"/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316DEE05" w:rsidR="005C2B67" w:rsidRDefault="00EE484A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79F59E30" w14:textId="3ECF2C9E" w:rsidR="00EE484A" w:rsidRPr="00EE484A" w:rsidRDefault="00EE484A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EE484A" w:rsidRPr="00EE484A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B893" w14:textId="77777777" w:rsidR="00EA233B" w:rsidRDefault="00EA233B">
      <w:r>
        <w:separator/>
      </w:r>
    </w:p>
  </w:endnote>
  <w:endnote w:type="continuationSeparator" w:id="0">
    <w:p w14:paraId="3FB9725C" w14:textId="77777777" w:rsidR="00EA233B" w:rsidRDefault="00EA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0604" w14:textId="77777777" w:rsidR="00EA233B" w:rsidRDefault="00EA233B">
      <w:r>
        <w:separator/>
      </w:r>
    </w:p>
  </w:footnote>
  <w:footnote w:type="continuationSeparator" w:id="0">
    <w:p w14:paraId="799D772B" w14:textId="77777777" w:rsidR="00EA233B" w:rsidRDefault="00EA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565557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A650B"/>
    <w:rsid w:val="001C1ADE"/>
    <w:rsid w:val="001C3136"/>
    <w:rsid w:val="0039006E"/>
    <w:rsid w:val="00434B37"/>
    <w:rsid w:val="004913EC"/>
    <w:rsid w:val="005A22F0"/>
    <w:rsid w:val="005C2B67"/>
    <w:rsid w:val="00637114"/>
    <w:rsid w:val="006552F1"/>
    <w:rsid w:val="00707CE2"/>
    <w:rsid w:val="007260CD"/>
    <w:rsid w:val="007D4287"/>
    <w:rsid w:val="00824215"/>
    <w:rsid w:val="008432DD"/>
    <w:rsid w:val="00864A03"/>
    <w:rsid w:val="008F1A79"/>
    <w:rsid w:val="00942F87"/>
    <w:rsid w:val="00955644"/>
    <w:rsid w:val="009F7838"/>
    <w:rsid w:val="00A3396B"/>
    <w:rsid w:val="00C077EB"/>
    <w:rsid w:val="00C869B3"/>
    <w:rsid w:val="00D409D4"/>
    <w:rsid w:val="00DE678A"/>
    <w:rsid w:val="00DF5CD7"/>
    <w:rsid w:val="00E45924"/>
    <w:rsid w:val="00E8787C"/>
    <w:rsid w:val="00E97BE4"/>
    <w:rsid w:val="00EA233B"/>
    <w:rsid w:val="00EC05A7"/>
    <w:rsid w:val="00EC7BBA"/>
    <w:rsid w:val="00EE484A"/>
    <w:rsid w:val="00F4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2025-11-26T08:46:00Z</dcterms:modified>
</cp:coreProperties>
</file>